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contextualSpacing w:val="1"/>
        <w:jc w:val="center"/>
      </w:pPr>
    </w:p>
    <w:p w14:paraId="02000000">
      <w:pPr>
        <w:widowControl w:val="1"/>
        <w:ind/>
        <w:contextualSpacing w:val="1"/>
        <w:jc w:val="center"/>
        <w:rPr>
          <w:sz w:val="10"/>
        </w:rPr>
      </w:pPr>
    </w:p>
    <w:tbl>
      <w:tblPr>
        <w:tblStyle w:val="Style_1"/>
        <w:tblW w:type="auto" w:w="0"/>
        <w:tblInd w:type="dxa" w:w="108"/>
        <w:tblBorders>
          <w:top w:color="000000" w:sz="4" w:val="single"/>
          <w:bottom w:color="000000" w:sz="4" w:val="single"/>
        </w:tblBorders>
        <w:tblLayout w:type="fixed"/>
      </w:tblPr>
      <w:tblGrid>
        <w:gridCol w:w="9711"/>
      </w:tblGrid>
      <w:tr>
        <w:tc>
          <w:tcPr>
            <w:tcW w:type="dxa" w:w="9711"/>
            <w:tcBorders>
              <w:top w:color="000000" w:sz="18" w:val="single"/>
              <w:bottom w:color="000000" w:sz="18" w:val="single"/>
            </w:tcBorders>
          </w:tcPr>
          <w:p w14:paraId="03000000">
            <w:pPr>
              <w:widowControl w:val="1"/>
              <w:ind/>
              <w:contextualSpacing w:val="1"/>
              <w:jc w:val="center"/>
              <w:rPr>
                <w:spacing w:val="-4"/>
                <w:sz w:val="20"/>
              </w:rPr>
            </w:pPr>
          </w:p>
          <w:p w14:paraId="04000000">
            <w:pPr>
              <w:widowControl w:val="1"/>
              <w:ind/>
              <w:contextualSpacing w:val="1"/>
              <w:jc w:val="center"/>
              <w:rPr>
                <w:b w:val="1"/>
                <w:spacing w:val="8"/>
              </w:rPr>
            </w:pPr>
            <w:r>
              <w:rPr>
                <w:b w:val="1"/>
                <w:spacing w:val="-4"/>
                <w:sz w:val="56"/>
              </w:rPr>
              <w:t xml:space="preserve">П Р О К У Р А Т У Р А </w:t>
            </w:r>
          </w:p>
          <w:p w14:paraId="05000000">
            <w:pPr>
              <w:widowControl w:val="1"/>
              <w:ind/>
              <w:contextualSpacing w:val="1"/>
              <w:jc w:val="center"/>
              <w:rPr>
                <w:b w:val="1"/>
                <w:spacing w:val="8"/>
              </w:rPr>
            </w:pPr>
            <w:r>
              <w:rPr>
                <w:b w:val="1"/>
                <w:spacing w:val="8"/>
              </w:rPr>
              <w:t>города Нижневартовска</w:t>
            </w:r>
          </w:p>
          <w:p w14:paraId="06000000">
            <w:pPr>
              <w:widowControl w:val="1"/>
              <w:ind/>
              <w:contextualSpacing w:val="1"/>
              <w:jc w:val="center"/>
              <w:rPr>
                <w:sz w:val="20"/>
              </w:rPr>
            </w:pPr>
          </w:p>
        </w:tc>
      </w:tr>
    </w:tbl>
    <w:p w14:paraId="07000000">
      <w:pPr>
        <w:widowControl w:val="1"/>
        <w:ind/>
        <w:jc w:val="center"/>
        <w:rPr>
          <w:b w:val="1"/>
          <w:color w:themeColor="text1" w:val="000000"/>
        </w:rPr>
      </w:pPr>
    </w:p>
    <w:p w14:paraId="08000000">
      <w:pPr>
        <w:widowControl w:val="1"/>
        <w:ind/>
        <w:contextualSpacing w:val="1"/>
        <w:jc w:val="center"/>
        <w:rPr>
          <w:color w:themeColor="text1" w:val="000000"/>
        </w:rPr>
      </w:pPr>
      <w:r>
        <w:rPr>
          <w:color w:themeColor="text1" w:val="000000"/>
        </w:rPr>
        <w:t>Уголовная ответственность за реабилитацию нацизма</w:t>
      </w:r>
    </w:p>
    <w:p w14:paraId="09000000">
      <w:pPr>
        <w:widowControl w:val="1"/>
        <w:ind/>
        <w:contextualSpacing w:val="1"/>
        <w:jc w:val="center"/>
        <w:rPr>
          <w:color w:themeColor="text1" w:val="000000"/>
        </w:rPr>
      </w:pPr>
    </w:p>
    <w:p w14:paraId="0A000000">
      <w:pPr>
        <w:widowControl w:val="1"/>
        <w:ind w:firstLine="709"/>
        <w:contextualSpacing w:val="1"/>
        <w:jc w:val="both"/>
        <w:rPr>
          <w:color w:themeColor="text1" w:val="000000"/>
        </w:rPr>
      </w:pPr>
      <w:r>
        <w:rPr>
          <w:color w:themeColor="text1" w:val="000000"/>
        </w:rPr>
        <w:t>Статьей 354.1 Уголовного кодекса Российской Федерации установлена уголовная ответственность за реабилитацию нацизма, которая наступает в случаях отрицания фактов, установленных приговором Международного военного трибунала для суда и наказания главных военных преступников европейских стран оси; одобрения преступлений, установленных вышеназванным приговором, а равно распространения заведомо ложных сведений о деятельности СССР в годы Второй мировой войны, совершенных публично.</w:t>
      </w:r>
    </w:p>
    <w:p w14:paraId="0B000000">
      <w:pPr>
        <w:widowControl w:val="1"/>
        <w:ind w:firstLine="709"/>
        <w:contextualSpacing w:val="1"/>
        <w:jc w:val="both"/>
        <w:rPr>
          <w:color w:themeColor="text1" w:val="000000"/>
        </w:rPr>
      </w:pPr>
      <w:r>
        <w:rPr>
          <w:color w:themeColor="text1" w:val="000000"/>
        </w:rPr>
        <w:t xml:space="preserve">Указанная статья также предусматривает ответственность </w:t>
      </w:r>
      <w:r>
        <w:rPr>
          <w:color w:themeColor="text1" w:val="000000"/>
        </w:rPr>
        <w:t>за</w:t>
      </w:r>
      <w:r>
        <w:rPr>
          <w:color w:themeColor="text1" w:val="000000"/>
        </w:rPr>
        <w:t>:</w:t>
      </w:r>
    </w:p>
    <w:p w14:paraId="0C000000">
      <w:pPr>
        <w:widowControl w:val="1"/>
        <w:ind w:firstLine="709"/>
        <w:contextualSpacing w:val="1"/>
        <w:jc w:val="both"/>
        <w:rPr>
          <w:color w:themeColor="text1" w:val="000000"/>
        </w:rPr>
      </w:pPr>
      <w:r>
        <w:rPr>
          <w:color w:themeColor="text1" w:val="000000"/>
        </w:rPr>
        <w:t>- совершение указанных деяний лицом с использованием своего служебного положения или с использованием средств массовой информации, а равно с искусственным созданием доказательств обвинения;</w:t>
      </w:r>
    </w:p>
    <w:p w14:paraId="0D000000">
      <w:pPr>
        <w:widowControl w:val="1"/>
        <w:ind w:firstLine="709"/>
        <w:contextualSpacing w:val="1"/>
        <w:jc w:val="both"/>
        <w:rPr>
          <w:color w:themeColor="text1" w:val="000000"/>
        </w:rPr>
      </w:pPr>
      <w:r>
        <w:rPr>
          <w:color w:themeColor="text1" w:val="000000"/>
        </w:rPr>
        <w:t>- распространение выражающих явное неуважение к обществу сведений о днях воинской славы и памятных датах России, связанных с защитой Отечества, а равно осквернение символов воинской слав</w:t>
      </w:r>
      <w:r>
        <w:rPr>
          <w:color w:themeColor="text1" w:val="000000"/>
        </w:rPr>
        <w:t>ы России, совершенные публично.</w:t>
      </w:r>
    </w:p>
    <w:p w14:paraId="0E000000">
      <w:pPr>
        <w:widowControl w:val="1"/>
        <w:ind w:firstLine="709"/>
        <w:contextualSpacing w:val="1"/>
        <w:jc w:val="both"/>
        <w:rPr>
          <w:color w:themeColor="text1" w:val="000000"/>
        </w:rPr>
      </w:pPr>
      <w:r>
        <w:rPr>
          <w:color w:themeColor="text1" w:val="000000"/>
        </w:rPr>
        <w:t>В зависимости от тяжести совершенного преступления виновному лицу може</w:t>
      </w:r>
      <w:r>
        <w:rPr>
          <w:color w:themeColor="text1" w:val="000000"/>
        </w:rPr>
        <w:t xml:space="preserve">т грозить наказание </w:t>
      </w:r>
      <w:r>
        <w:rPr>
          <w:color w:themeColor="text1" w:val="000000"/>
        </w:rPr>
        <w:t>в виде штрафа в размере до пяти миллионов рублей, принудительные работы, обязательные работы, исправительные работы, а также лишение свободы на срок вплоть до пяти лет с лишением права занимать определенные должности или заниматься определенной дея</w:t>
      </w:r>
      <w:r>
        <w:rPr>
          <w:color w:themeColor="text1" w:val="000000"/>
        </w:rPr>
        <w:t>тельностью на срок до пяти лет.</w:t>
      </w:r>
    </w:p>
    <w:p w14:paraId="0F000000">
      <w:pPr>
        <w:widowControl w:val="1"/>
        <w:ind w:firstLine="709"/>
        <w:contextualSpacing w:val="1"/>
        <w:jc w:val="both"/>
        <w:rPr>
          <w:color w:themeColor="text1" w:val="000000"/>
        </w:rPr>
      </w:pPr>
      <w:r>
        <w:rPr>
          <w:color w:themeColor="text1" w:val="000000"/>
        </w:rPr>
        <w:t xml:space="preserve">Уголовной ответственности по данной статье подлежат лица, достигшие </w:t>
      </w:r>
      <w:r>
        <w:rPr>
          <w:color w:themeColor="text1" w:val="000000"/>
        </w:rPr>
        <w:t>на</w:t>
      </w:r>
      <w:r>
        <w:rPr>
          <w:color w:themeColor="text1" w:val="000000"/>
        </w:rPr>
        <w:t xml:space="preserve"> момент совершения преступления 16-летнего возраста.</w:t>
      </w:r>
    </w:p>
    <w:p w14:paraId="10000000">
      <w:pPr>
        <w:widowControl w:val="1"/>
        <w:ind w:firstLine="709"/>
        <w:contextualSpacing w:val="1"/>
        <w:jc w:val="both"/>
        <w:rPr>
          <w:color w:themeColor="text1" w:val="000000"/>
        </w:rPr>
      </w:pPr>
      <w:bookmarkStart w:id="1" w:name="_GoBack"/>
      <w:bookmarkEnd w:id="1"/>
    </w:p>
    <w:p w14:paraId="11000000">
      <w:pPr>
        <w:widowControl w:val="1"/>
        <w:ind/>
        <w:jc w:val="both"/>
      </w:pPr>
      <w:r>
        <w:t xml:space="preserve">Пресс-служба </w:t>
      </w:r>
    </w:p>
    <w:p w14:paraId="12000000">
      <w:pPr>
        <w:widowControl w:val="1"/>
        <w:ind/>
        <w:jc w:val="both"/>
      </w:pPr>
      <w:r>
        <w:t>Прокуратуры г. Нижневартовска</w:t>
      </w:r>
    </w:p>
    <w:p w14:paraId="13000000">
      <w:pPr>
        <w:widowControl w:val="1"/>
        <w:ind/>
        <w:jc w:val="both"/>
        <w:rPr>
          <w:b w:val="1"/>
          <w:sz w:val="20"/>
        </w:rPr>
      </w:pPr>
      <w:r>
        <w:rPr>
          <w:b w:val="1"/>
          <w:sz w:val="20"/>
        </w:rPr>
        <w:t>При использовании указанной информации ссылка на прокуратуру города Нижневартовска является обязательной. При освещении информации в теле-, радиоэфирах необходимо направлять эфирные справки (количество эфиров с учетом повторов) по адресу прокуратуры города: ХМАО-Югра, г. Нижневартовск, ул. Мусы Джалиля, д. 14, 628602</w:t>
      </w:r>
    </w:p>
    <w:p w14:paraId="14000000">
      <w:pPr>
        <w:widowControl w:val="1"/>
        <w:spacing w:line="240" w:lineRule="exact"/>
        <w:ind/>
        <w:jc w:val="both"/>
        <w:rPr>
          <w:b w:val="1"/>
        </w:rPr>
      </w:pPr>
    </w:p>
    <w:p w14:paraId="15000000">
      <w:pPr>
        <w:widowControl w:val="1"/>
        <w:spacing w:line="240" w:lineRule="exact"/>
        <w:ind/>
        <w:jc w:val="both"/>
        <w:rPr>
          <w:b w:val="1"/>
        </w:rPr>
      </w:pPr>
      <w:r>
        <w:rPr>
          <w:b w:val="1"/>
        </w:rPr>
        <w:t>СОГЛАСОВАНО:</w:t>
      </w:r>
    </w:p>
    <w:p w14:paraId="16000000">
      <w:pPr>
        <w:widowControl w:val="1"/>
        <w:spacing w:line="240" w:lineRule="exact"/>
        <w:ind/>
        <w:jc w:val="both"/>
        <w:rPr>
          <w:b w:val="1"/>
          <w:sz w:val="20"/>
        </w:rPr>
      </w:pPr>
    </w:p>
    <w:p w14:paraId="17000000">
      <w:pPr>
        <w:widowControl w:val="1"/>
        <w:spacing w:line="240" w:lineRule="exact"/>
        <w:ind/>
        <w:jc w:val="both"/>
        <w:rPr>
          <w:b w:val="1"/>
          <w:sz w:val="20"/>
        </w:rPr>
      </w:pPr>
      <w:r>
        <w:rPr>
          <w:b w:val="1"/>
          <w:sz w:val="20"/>
        </w:rPr>
        <w:t xml:space="preserve"> </w:t>
      </w:r>
      <w:r>
        <w:t xml:space="preserve">Прокурор города                                                                             </w:t>
      </w:r>
      <w:r>
        <w:tab/>
      </w:r>
      <w:r>
        <w:t xml:space="preserve">     А.В. Еременко</w:t>
      </w:r>
    </w:p>
    <w:p w14:paraId="18000000">
      <w:pPr>
        <w:rPr>
          <w:sz w:val="20"/>
        </w:rPr>
      </w:pPr>
    </w:p>
    <w:p w14:paraId="19000000">
      <w:pPr>
        <w:rPr>
          <w:sz w:val="20"/>
        </w:rPr>
      </w:pPr>
    </w:p>
    <w:p w14:paraId="1A000000">
      <w:pPr>
        <w:rPr>
          <w:sz w:val="20"/>
        </w:rPr>
      </w:pPr>
    </w:p>
    <w:p w14:paraId="1B000000">
      <w:pPr>
        <w:rPr>
          <w:sz w:val="20"/>
        </w:rPr>
      </w:pPr>
    </w:p>
    <w:p w14:paraId="1C000000">
      <w:pPr>
        <w:rPr>
          <w:sz w:val="20"/>
        </w:rPr>
      </w:pPr>
    </w:p>
    <w:p w14:paraId="1D000000">
      <w:pPr>
        <w:rPr>
          <w:sz w:val="20"/>
        </w:rPr>
      </w:pPr>
    </w:p>
    <w:p w14:paraId="1E000000">
      <w:pPr>
        <w:rPr>
          <w:sz w:val="20"/>
        </w:rPr>
      </w:pPr>
    </w:p>
    <w:p w14:paraId="1F000000">
      <w:pPr>
        <w:rPr>
          <w:sz w:val="20"/>
        </w:rPr>
      </w:pPr>
      <w:r>
        <w:rPr>
          <w:sz w:val="20"/>
        </w:rPr>
        <w:t xml:space="preserve">Д.О. </w:t>
      </w:r>
      <w:r>
        <w:rPr>
          <w:sz w:val="20"/>
        </w:rPr>
        <w:t>Колосницын</w:t>
      </w:r>
      <w:r>
        <w:rPr>
          <w:sz w:val="20"/>
        </w:rPr>
        <w:t>, тел. 49-89-19</w:t>
      </w:r>
    </w:p>
    <w:sectPr>
      <w:pgSz w:h="16838" w:orient="portrait" w:w="11906"/>
      <w:pgMar w:bottom="1276" w:footer="709" w:gutter="0" w:header="709" w:left="1418" w:right="567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rFonts w:ascii="Times New Roman" w:hAnsi="Times New Roman"/>
      <w:sz w:val="28"/>
    </w:rPr>
  </w:style>
  <w:style w:default="1" w:styleId="Style_2_ch" w:type="character">
    <w:name w:val="Normal"/>
    <w:link w:val="Style_2"/>
    <w:rPr>
      <w:rFonts w:ascii="Times New Roman" w:hAnsi="Times New Roman"/>
      <w:sz w:val="28"/>
    </w:rPr>
  </w:style>
  <w:style w:styleId="Style_3" w:type="paragraph">
    <w:name w:val="toc 2"/>
    <w:next w:val="Style_2"/>
    <w:link w:val="Style_3_ch"/>
    <w:uiPriority w:val="39"/>
    <w:pPr>
      <w:widowControl w:val="1"/>
      <w:ind w:left="200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Гиперссылка1"/>
    <w:link w:val="Style_4_ch"/>
    <w:rPr>
      <w:color w:val="0000FF"/>
      <w:u w:val="single"/>
    </w:rPr>
  </w:style>
  <w:style w:styleId="Style_4_ch" w:type="character">
    <w:name w:val="Гиперссылка1"/>
    <w:link w:val="Style_4"/>
    <w:rPr>
      <w:color w:val="0000FF"/>
      <w:u w:val="single"/>
    </w:rPr>
  </w:style>
  <w:style w:styleId="Style_5" w:type="paragraph">
    <w:name w:val="toc 4"/>
    <w:next w:val="Style_2"/>
    <w:link w:val="Style_5_ch"/>
    <w:uiPriority w:val="39"/>
    <w:pPr>
      <w:widowControl w:val="1"/>
      <w:ind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1"/>
      <w:ind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ind w:left="1200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Основной шрифт абзаца1"/>
    <w:link w:val="Style_11_ch"/>
  </w:style>
  <w:style w:styleId="Style_11_ch" w:type="character">
    <w:name w:val="Основной шрифт абзаца1"/>
    <w:link w:val="Style_11"/>
  </w:style>
  <w:style w:styleId="Style_12" w:type="paragraph">
    <w:name w:val="toc 3"/>
    <w:next w:val="Style_2"/>
    <w:link w:val="Style_12_ch"/>
    <w:uiPriority w:val="39"/>
    <w:pPr>
      <w:widowControl w:val="1"/>
      <w:ind w:left="400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Body Text 3"/>
    <w:basedOn w:val="Style_2"/>
    <w:link w:val="Style_13_ch"/>
    <w:pPr>
      <w:widowControl w:val="1"/>
      <w:spacing w:after="120"/>
      <w:ind/>
    </w:pPr>
    <w:rPr>
      <w:sz w:val="16"/>
    </w:rPr>
  </w:style>
  <w:style w:styleId="Style_13_ch" w:type="character">
    <w:name w:val="Body Text 3"/>
    <w:basedOn w:val="Style_2_ch"/>
    <w:link w:val="Style_13"/>
    <w:rPr>
      <w:sz w:val="16"/>
    </w:rPr>
  </w:style>
  <w:style w:styleId="Style_14" w:type="paragraph">
    <w:name w:val="Balloon Text"/>
    <w:basedOn w:val="Style_2"/>
    <w:link w:val="Style_14_ch"/>
    <w:rPr>
      <w:rFonts w:ascii="Segoe UI" w:hAnsi="Segoe UI"/>
      <w:sz w:val="18"/>
    </w:rPr>
  </w:style>
  <w:style w:styleId="Style_14_ch" w:type="character">
    <w:name w:val="Balloon Text"/>
    <w:basedOn w:val="Style_2_ch"/>
    <w:link w:val="Style_14"/>
    <w:rPr>
      <w:rFonts w:ascii="Segoe UI" w:hAnsi="Segoe UI"/>
      <w:sz w:val="18"/>
    </w:rPr>
  </w:style>
  <w:style w:styleId="Style_15" w:type="paragraph">
    <w:name w:val="Body Text Indent"/>
    <w:basedOn w:val="Style_2"/>
    <w:link w:val="Style_15_ch"/>
    <w:pPr>
      <w:widowControl w:val="1"/>
      <w:ind w:firstLine="709"/>
      <w:jc w:val="both"/>
    </w:pPr>
  </w:style>
  <w:style w:styleId="Style_15_ch" w:type="character">
    <w:name w:val="Body Text Indent"/>
    <w:basedOn w:val="Style_2_ch"/>
    <w:link w:val="Style_15"/>
  </w:style>
  <w:style w:styleId="Style_16" w:type="paragraph">
    <w:name w:val="heading 5"/>
    <w:next w:val="Style_2"/>
    <w:link w:val="Style_16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heading 1"/>
    <w:basedOn w:val="Style_2"/>
    <w:link w:val="Style_17_ch"/>
    <w:uiPriority w:val="9"/>
    <w:qFormat/>
    <w:pPr>
      <w:widowControl w:val="1"/>
      <w:spacing w:afterAutospacing="on" w:beforeAutospacing="on"/>
      <w:ind/>
      <w:outlineLvl w:val="0"/>
    </w:pPr>
    <w:rPr>
      <w:b w:val="1"/>
      <w:sz w:val="48"/>
    </w:rPr>
  </w:style>
  <w:style w:styleId="Style_17_ch" w:type="character">
    <w:name w:val="heading 1"/>
    <w:basedOn w:val="Style_2_ch"/>
    <w:link w:val="Style_17"/>
    <w:rPr>
      <w:b w:val="1"/>
      <w:sz w:val="48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widowControl w:val="1"/>
      <w:ind w:firstLine="851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2"/>
    <w:link w:val="Style_20_ch"/>
    <w:uiPriority w:val="39"/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widowControl w:val="1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2"/>
    <w:link w:val="Style_22_ch"/>
    <w:uiPriority w:val="39"/>
    <w:pPr>
      <w:widowControl w:val="1"/>
      <w:ind w:left="1600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2"/>
    <w:link w:val="Style_23_ch"/>
    <w:uiPriority w:val="39"/>
    <w:pPr>
      <w:widowControl w:val="1"/>
      <w:ind w:left="1400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feeds-page__navigation_tooltip"/>
    <w:basedOn w:val="Style_11"/>
    <w:link w:val="Style_24_ch"/>
  </w:style>
  <w:style w:styleId="Style_24_ch" w:type="character">
    <w:name w:val="feeds-page__navigation_tooltip"/>
    <w:basedOn w:val="Style_11_ch"/>
    <w:link w:val="Style_24"/>
  </w:style>
  <w:style w:styleId="Style_25" w:type="paragraph">
    <w:name w:val="toc 5"/>
    <w:next w:val="Style_2"/>
    <w:link w:val="Style_25_ch"/>
    <w:uiPriority w:val="39"/>
    <w:pPr>
      <w:widowControl w:val="1"/>
      <w:ind w:left="800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Обычный1"/>
    <w:link w:val="Style_26_ch"/>
    <w:rPr>
      <w:rFonts w:ascii="Times New Roman" w:hAnsi="Times New Roman"/>
      <w:sz w:val="28"/>
    </w:rPr>
  </w:style>
  <w:style w:styleId="Style_26_ch" w:type="character">
    <w:name w:val="Обычный1"/>
    <w:link w:val="Style_26"/>
    <w:rPr>
      <w:rFonts w:ascii="Times New Roman" w:hAnsi="Times New Roman"/>
      <w:sz w:val="28"/>
    </w:rPr>
  </w:style>
  <w:style w:styleId="Style_27" w:type="paragraph">
    <w:name w:val="No Spacing"/>
    <w:link w:val="Style_27_ch"/>
    <w:rPr>
      <w:sz w:val="22"/>
    </w:rPr>
  </w:style>
  <w:style w:styleId="Style_27_ch" w:type="character">
    <w:name w:val="No Spacing"/>
    <w:link w:val="Style_27"/>
    <w:rPr>
      <w:sz w:val="22"/>
    </w:rPr>
  </w:style>
  <w:style w:styleId="Style_28" w:type="paragraph">
    <w:name w:val="Subtitle"/>
    <w:next w:val="Style_2"/>
    <w:link w:val="Style_2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next w:val="Style_2"/>
    <w:link w:val="Style_2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2"/>
    <w:link w:val="Style_3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Основной текст2"/>
    <w:basedOn w:val="Style_2"/>
    <w:link w:val="Style_31_ch"/>
    <w:pPr>
      <w:widowControl w:val="1"/>
      <w:spacing w:line="245" w:lineRule="exact"/>
      <w:ind/>
    </w:pPr>
    <w:rPr>
      <w:rFonts w:ascii="Sylfaen" w:hAnsi="Sylfaen"/>
      <w:sz w:val="25"/>
    </w:rPr>
  </w:style>
  <w:style w:styleId="Style_31_ch" w:type="character">
    <w:name w:val="Основной текст2"/>
    <w:basedOn w:val="Style_2_ch"/>
    <w:link w:val="Style_31"/>
    <w:rPr>
      <w:rFonts w:ascii="Sylfaen" w:hAnsi="Sylfaen"/>
      <w:sz w:val="25"/>
    </w:rPr>
  </w:style>
  <w:style w:styleId="Style_32" w:type="paragraph">
    <w:name w:val="heading 2"/>
    <w:next w:val="Style_2"/>
    <w:link w:val="Style_3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styleId="Style_33" w:type="paragraph">
    <w:name w:val="Normal (Web)"/>
    <w:basedOn w:val="Style_2"/>
    <w:link w:val="Style_33_ch"/>
    <w:pPr>
      <w:widowControl w:val="1"/>
      <w:spacing w:afterAutospacing="on" w:beforeAutospacing="on"/>
      <w:ind/>
    </w:pPr>
    <w:rPr>
      <w:sz w:val="24"/>
    </w:rPr>
  </w:style>
  <w:style w:styleId="Style_33_ch" w:type="character">
    <w:name w:val="Normal (Web)"/>
    <w:basedOn w:val="Style_2_ch"/>
    <w:link w:val="Style_33"/>
    <w:rPr>
      <w:sz w:val="24"/>
    </w:rPr>
  </w:style>
  <w:style w:styleId="Style_34" w:type="paragraph">
    <w:name w:val="List Paragraph"/>
    <w:basedOn w:val="Style_2"/>
    <w:link w:val="Style_34_ch"/>
    <w:pPr>
      <w:widowControl w:val="1"/>
      <w:spacing w:after="200" w:line="276" w:lineRule="auto"/>
      <w:ind w:left="720"/>
      <w:contextualSpacing w:val="1"/>
    </w:pPr>
    <w:rPr>
      <w:rFonts w:asciiTheme="minorAscii" w:hAnsiTheme="minorHAnsi"/>
      <w:sz w:val="22"/>
    </w:rPr>
  </w:style>
  <w:style w:styleId="Style_34_ch" w:type="character">
    <w:name w:val="List Paragraph"/>
    <w:basedOn w:val="Style_2_ch"/>
    <w:link w:val="Style_34"/>
    <w:rPr>
      <w:rFonts w:asciiTheme="minorAscii" w:hAnsiTheme="minorHAnsi"/>
      <w:sz w:val="22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5" w:type="table">
    <w:name w:val="Table Grid"/>
    <w:basedOn w:val="Style_1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2024-04-14T21:32:00Z</dcterms:created>
  <dcterms:modified xsi:type="dcterms:W3CDTF">2026-10-29T05:36:22Z</dcterms:modified>
</cp:coreProperties>
</file>